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0A75" w14:textId="2BA6A3FF" w:rsidR="00555463" w:rsidRPr="00555463" w:rsidRDefault="00555463" w:rsidP="00555463">
      <w:pPr>
        <w:ind w:left="10" w:hanging="10"/>
        <w:rPr>
          <w:rFonts w:ascii="Times New Roman" w:hAnsi="Times New Roman" w:cs="Times New Roman"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 xml:space="preserve">Naziv  obveznika: </w:t>
      </w:r>
      <w:r w:rsidR="00B80A63">
        <w:rPr>
          <w:rFonts w:ascii="Times New Roman" w:hAnsi="Times New Roman" w:cs="Times New Roman"/>
          <w:b/>
          <w:sz w:val="24"/>
          <w:szCs w:val="24"/>
        </w:rPr>
        <w:t>GIMNAZIJA ŽUPANJA</w:t>
      </w:r>
    </w:p>
    <w:p w14:paraId="697B07A3" w14:textId="6805B638" w:rsidR="00555463" w:rsidRPr="00555463" w:rsidRDefault="00555463" w:rsidP="00555463">
      <w:pPr>
        <w:spacing w:line="26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 xml:space="preserve">RKP broj:  </w:t>
      </w:r>
      <w:r w:rsidRPr="00555463">
        <w:rPr>
          <w:rFonts w:ascii="Times New Roman" w:hAnsi="Times New Roman" w:cs="Times New Roman"/>
          <w:b/>
          <w:sz w:val="24"/>
          <w:szCs w:val="24"/>
        </w:rPr>
        <w:t>1</w:t>
      </w:r>
      <w:r w:rsidR="00B80A63">
        <w:rPr>
          <w:rFonts w:ascii="Times New Roman" w:hAnsi="Times New Roman" w:cs="Times New Roman"/>
          <w:b/>
          <w:sz w:val="24"/>
          <w:szCs w:val="24"/>
        </w:rPr>
        <w:t>8008</w:t>
      </w:r>
    </w:p>
    <w:p w14:paraId="06C334C8" w14:textId="7C4C17AE" w:rsidR="000B0599" w:rsidRPr="000B0599" w:rsidRDefault="00555463" w:rsidP="000B0599">
      <w:pPr>
        <w:pStyle w:val="Heading1"/>
        <w:spacing w:after="0"/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555463">
        <w:rPr>
          <w:rFonts w:ascii="Times New Roman" w:hAnsi="Times New Roman" w:cs="Times New Roman"/>
          <w:b w:val="0"/>
          <w:sz w:val="24"/>
          <w:szCs w:val="24"/>
        </w:rPr>
        <w:t xml:space="preserve">Matični broj: </w:t>
      </w:r>
      <w:r w:rsidR="000B0599">
        <w:rPr>
          <w:rFonts w:ascii="Times New Roman" w:hAnsi="Times New Roman" w:cs="Times New Roman"/>
          <w:sz w:val="24"/>
          <w:szCs w:val="24"/>
        </w:rPr>
        <w:t>00336017</w:t>
      </w:r>
    </w:p>
    <w:p w14:paraId="09CC9EE6" w14:textId="77777777" w:rsidR="000B0599" w:rsidRPr="000B0599" w:rsidRDefault="000B0599" w:rsidP="000B05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D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0599">
        <w:rPr>
          <w:rFonts w:ascii="Times New Roman" w:hAnsi="Times New Roman" w:cs="Times New Roman"/>
          <w:b/>
          <w:bCs/>
          <w:sz w:val="24"/>
          <w:szCs w:val="24"/>
        </w:rPr>
        <w:t>07914183519</w:t>
      </w:r>
    </w:p>
    <w:p w14:paraId="09F8808D" w14:textId="7092F948" w:rsidR="000B0599" w:rsidRPr="0007110D" w:rsidRDefault="000B0599" w:rsidP="000B0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Razina: </w:t>
      </w:r>
      <w:r w:rsidRPr="000B059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0B0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463">
        <w:rPr>
          <w:rFonts w:ascii="Times New Roman" w:hAnsi="Times New Roman" w:cs="Times New Roman"/>
          <w:b/>
          <w:sz w:val="24"/>
          <w:szCs w:val="24"/>
        </w:rPr>
        <w:t>PRORAČUNSKI KORISNIK JEDINICE LOKALNE I PODRUČNE SAMOUPRAVE</w:t>
      </w:r>
    </w:p>
    <w:p w14:paraId="1D684E08" w14:textId="77777777" w:rsidR="000B0599" w:rsidRDefault="000B0599" w:rsidP="000B0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Pr="000B0599">
        <w:rPr>
          <w:rFonts w:ascii="Times New Roman" w:hAnsi="Times New Roman" w:cs="Times New Roman"/>
          <w:b/>
          <w:bCs/>
          <w:sz w:val="24"/>
          <w:szCs w:val="24"/>
        </w:rPr>
        <w:t>80210</w:t>
      </w:r>
    </w:p>
    <w:p w14:paraId="469EDA3E" w14:textId="552D8119" w:rsidR="00555463" w:rsidRPr="00555463" w:rsidRDefault="00555463" w:rsidP="00555463">
      <w:pPr>
        <w:tabs>
          <w:tab w:val="center" w:pos="708"/>
          <w:tab w:val="center" w:pos="1416"/>
          <w:tab w:val="center" w:pos="3536"/>
        </w:tabs>
        <w:rPr>
          <w:rFonts w:ascii="Times New Roman" w:hAnsi="Times New Roman" w:cs="Times New Roman"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>Adresa obveznika:</w:t>
      </w:r>
      <w:r w:rsidRPr="00555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99">
        <w:rPr>
          <w:rFonts w:ascii="Times New Roman" w:hAnsi="Times New Roman" w:cs="Times New Roman"/>
          <w:b/>
          <w:sz w:val="24"/>
          <w:szCs w:val="24"/>
        </w:rPr>
        <w:t>Veliki kraj 42, 32270 Županja</w:t>
      </w:r>
    </w:p>
    <w:p w14:paraId="2210693E" w14:textId="77777777" w:rsidR="00555463" w:rsidRPr="00555463" w:rsidRDefault="00555463" w:rsidP="00555463">
      <w:pPr>
        <w:ind w:left="10" w:hanging="10"/>
        <w:rPr>
          <w:rFonts w:ascii="Times New Roman" w:hAnsi="Times New Roman" w:cs="Times New Roman"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 xml:space="preserve">Šifra županije: </w:t>
      </w:r>
      <w:r w:rsidRPr="00555463">
        <w:rPr>
          <w:rFonts w:ascii="Times New Roman" w:hAnsi="Times New Roman" w:cs="Times New Roman"/>
          <w:b/>
          <w:sz w:val="24"/>
          <w:szCs w:val="24"/>
        </w:rPr>
        <w:t>16 VUKOVARSKO-SRIJEMSKA ŽUPANIJA</w:t>
      </w:r>
      <w:r w:rsidRPr="00555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2D88F" w14:textId="55F7447E" w:rsidR="00555463" w:rsidRPr="00555463" w:rsidRDefault="00555463" w:rsidP="00555463">
      <w:pPr>
        <w:ind w:left="10" w:hanging="10"/>
        <w:rPr>
          <w:rFonts w:ascii="Times New Roman" w:hAnsi="Times New Roman" w:cs="Times New Roman"/>
          <w:b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>Oznaka razdoblja:</w:t>
      </w:r>
      <w:r w:rsidRPr="00555463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55463">
        <w:rPr>
          <w:rFonts w:ascii="Times New Roman" w:hAnsi="Times New Roman" w:cs="Times New Roman"/>
          <w:b/>
          <w:sz w:val="24"/>
          <w:szCs w:val="24"/>
        </w:rPr>
        <w:t>-</w:t>
      </w:r>
      <w:r w:rsidR="006B1972">
        <w:rPr>
          <w:rFonts w:ascii="Times New Roman" w:hAnsi="Times New Roman" w:cs="Times New Roman"/>
          <w:b/>
          <w:sz w:val="24"/>
          <w:szCs w:val="24"/>
        </w:rPr>
        <w:t>12</w:t>
      </w:r>
    </w:p>
    <w:p w14:paraId="35812A44" w14:textId="373F4BA5" w:rsidR="00AF2E2C" w:rsidRDefault="00AF2E2C">
      <w:pPr>
        <w:rPr>
          <w:rFonts w:ascii="Times New Roman" w:hAnsi="Times New Roman" w:cs="Times New Roman"/>
          <w:sz w:val="24"/>
          <w:szCs w:val="24"/>
        </w:rPr>
      </w:pPr>
    </w:p>
    <w:p w14:paraId="4437859F" w14:textId="77777777" w:rsidR="009E4698" w:rsidRPr="0007110D" w:rsidRDefault="009E4698">
      <w:pPr>
        <w:rPr>
          <w:rFonts w:ascii="Times New Roman" w:hAnsi="Times New Roman" w:cs="Times New Roman"/>
          <w:sz w:val="24"/>
          <w:szCs w:val="24"/>
        </w:rPr>
      </w:pPr>
    </w:p>
    <w:p w14:paraId="4F6AE3F0" w14:textId="02AF9D67" w:rsidR="00D929A3" w:rsidRDefault="00D929A3" w:rsidP="006B19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E3">
        <w:rPr>
          <w:rFonts w:ascii="Times New Roman" w:hAnsi="Times New Roman" w:cs="Times New Roman"/>
          <w:b/>
          <w:sz w:val="24"/>
          <w:szCs w:val="24"/>
        </w:rPr>
        <w:t>B I LJ E Š K E</w:t>
      </w:r>
      <w:r w:rsidR="00804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2E3">
        <w:rPr>
          <w:rFonts w:ascii="Times New Roman" w:hAnsi="Times New Roman" w:cs="Times New Roman"/>
          <w:b/>
          <w:sz w:val="24"/>
          <w:szCs w:val="24"/>
        </w:rPr>
        <w:t>UZ FINANCIJSKE IZVJEŠTAJE</w:t>
      </w:r>
    </w:p>
    <w:p w14:paraId="52B74EEB" w14:textId="4C985EEF" w:rsidR="00D929A3" w:rsidRDefault="00D929A3" w:rsidP="00D929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E3">
        <w:rPr>
          <w:rFonts w:ascii="Times New Roman" w:hAnsi="Times New Roman" w:cs="Times New Roman"/>
          <w:b/>
          <w:sz w:val="24"/>
          <w:szCs w:val="24"/>
        </w:rPr>
        <w:t>ZA RAZDOBLJE 01.01.202</w:t>
      </w:r>
      <w:r w:rsidR="00555463">
        <w:rPr>
          <w:rFonts w:ascii="Times New Roman" w:hAnsi="Times New Roman" w:cs="Times New Roman"/>
          <w:b/>
          <w:sz w:val="24"/>
          <w:szCs w:val="24"/>
        </w:rPr>
        <w:t>4</w:t>
      </w:r>
      <w:r w:rsidRPr="00BA32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972">
        <w:rPr>
          <w:rFonts w:ascii="Times New Roman" w:hAnsi="Times New Roman" w:cs="Times New Roman"/>
          <w:b/>
          <w:sz w:val="24"/>
          <w:szCs w:val="24"/>
        </w:rPr>
        <w:t>– 31.12</w:t>
      </w:r>
      <w:r w:rsidR="00555463">
        <w:rPr>
          <w:rFonts w:ascii="Times New Roman" w:hAnsi="Times New Roman" w:cs="Times New Roman"/>
          <w:b/>
          <w:sz w:val="24"/>
          <w:szCs w:val="24"/>
        </w:rPr>
        <w:t>.2024.</w:t>
      </w:r>
    </w:p>
    <w:p w14:paraId="5A1CB70A" w14:textId="1AA6D406" w:rsidR="00D929A3" w:rsidRPr="00555463" w:rsidRDefault="00D929A3" w:rsidP="00D929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3E6CC" w14:textId="77777777" w:rsidR="000B0599" w:rsidRPr="00E8326A" w:rsidRDefault="000B0599" w:rsidP="000B0599">
      <w:pPr>
        <w:pStyle w:val="MSGENFONTSTYLENAMETEMPLATEROLENUMBERMSGENFONTSTYLENAMEBYROLETEXT2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Gimnazija</w:t>
      </w:r>
      <w:r w:rsidRPr="00E8326A">
        <w:rPr>
          <w:rFonts w:ascii="Times New Roman" w:hAnsi="Times New Roman" w:cs="Times New Roman"/>
          <w:sz w:val="24"/>
          <w:szCs w:val="24"/>
        </w:rPr>
        <w:t xml:space="preserve"> Županja obavlja djelatnost </w:t>
      </w:r>
      <w:r>
        <w:rPr>
          <w:rFonts w:ascii="Times New Roman" w:hAnsi="Times New Roman" w:cs="Times New Roman"/>
          <w:sz w:val="24"/>
          <w:szCs w:val="24"/>
        </w:rPr>
        <w:t>općeg srednjoškolskog obrazovanja</w:t>
      </w:r>
      <w:r w:rsidRPr="00E8326A">
        <w:rPr>
          <w:rFonts w:ascii="Times New Roman" w:hAnsi="Times New Roman" w:cs="Times New Roman"/>
          <w:sz w:val="24"/>
          <w:szCs w:val="24"/>
        </w:rPr>
        <w:t xml:space="preserve"> u skladu sa Zakonom.</w:t>
      </w:r>
    </w:p>
    <w:p w14:paraId="63AA1E10" w14:textId="77777777" w:rsidR="000B0599" w:rsidRPr="00E8326A" w:rsidRDefault="000B0599" w:rsidP="000B0599">
      <w:pPr>
        <w:pStyle w:val="MSGENFONTSTYLENAMETEMPLATEROLENUMBERMSGENFONTSTYLENAMEBYROLETEXT2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Djelatnost Škole, prema odredbama Statuta, je: </w:t>
      </w:r>
    </w:p>
    <w:p w14:paraId="105032B1" w14:textId="77777777" w:rsidR="000B0599" w:rsidRDefault="000B0599" w:rsidP="000B0599">
      <w:pPr>
        <w:pStyle w:val="MSGENFONTSTYLENAMETEMPLATEROLENUMBERMSGENFONTSTYLENAMEBYROLETEXT2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• Djelatnost škole je </w:t>
      </w:r>
      <w:r>
        <w:rPr>
          <w:rFonts w:ascii="Times New Roman" w:hAnsi="Times New Roman" w:cs="Times New Roman"/>
          <w:sz w:val="24"/>
          <w:szCs w:val="24"/>
        </w:rPr>
        <w:t>srednjoškolsko</w:t>
      </w:r>
      <w:r w:rsidRPr="00E8326A">
        <w:rPr>
          <w:rFonts w:ascii="Times New Roman" w:hAnsi="Times New Roman" w:cs="Times New Roman"/>
          <w:sz w:val="24"/>
          <w:szCs w:val="24"/>
        </w:rPr>
        <w:t xml:space="preserve"> obrazovanje za stjecanje srednje stručne spreme i to: </w:t>
      </w:r>
    </w:p>
    <w:p w14:paraId="6FB572D6" w14:textId="77777777" w:rsidR="000B0599" w:rsidRDefault="000B0599" w:rsidP="000B0599">
      <w:pPr>
        <w:pStyle w:val="MSGENFONTSTYLENAMETEMPLATEROLENUMBERMSGENFONTSTYLENAMEBYROLETEXT21"/>
        <w:numPr>
          <w:ilvl w:val="0"/>
          <w:numId w:val="13"/>
        </w:numPr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gimnazija</w:t>
      </w:r>
    </w:p>
    <w:p w14:paraId="1F0360F9" w14:textId="77777777" w:rsidR="000B0599" w:rsidRPr="00E8326A" w:rsidRDefault="000B0599" w:rsidP="000B0599">
      <w:pPr>
        <w:pStyle w:val="MSGENFONTSTYLENAMETEMPLATEROLENUMBERMSGENFONTSTYLENAMEBYROLETEXT21"/>
        <w:numPr>
          <w:ilvl w:val="0"/>
          <w:numId w:val="13"/>
        </w:numPr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Prirodoslovno-matematička gimnazija</w:t>
      </w:r>
    </w:p>
    <w:p w14:paraId="5FABF337" w14:textId="77777777" w:rsidR="000B0599" w:rsidRPr="00E8326A" w:rsidRDefault="000B0599" w:rsidP="000B0599">
      <w:pPr>
        <w:pStyle w:val="MSGENFONTSTYLENAMETEMPLATEROLENUMBERMSGENFONTSTYLENAMEBYROLETEXT2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>Škola obavlja i  poslove posredovanja za povremeni rad svojih redovitih učenika u zemlji.</w:t>
      </w:r>
    </w:p>
    <w:p w14:paraId="629E7F1D" w14:textId="77777777" w:rsidR="000B0599" w:rsidRPr="00E8326A" w:rsidRDefault="000B0599" w:rsidP="000B0599">
      <w:pPr>
        <w:pStyle w:val="MSGENFONTSTYLENAMETEMPLATEROLENUMBERMSGENFONTSTYLENAMEBYROLETEXT21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Ravnatelj Škole je </w:t>
      </w:r>
      <w:r>
        <w:rPr>
          <w:rFonts w:ascii="Times New Roman" w:hAnsi="Times New Roman" w:cs="Times New Roman"/>
          <w:sz w:val="24"/>
          <w:szCs w:val="24"/>
        </w:rPr>
        <w:t>Ivica Živković, prof.</w:t>
      </w:r>
    </w:p>
    <w:p w14:paraId="65AF85A1" w14:textId="66E3AB45" w:rsidR="00D929A3" w:rsidRPr="000A6BE3" w:rsidRDefault="00555463" w:rsidP="00804EA0">
      <w:pPr>
        <w:spacing w:line="26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55463">
        <w:rPr>
          <w:rFonts w:ascii="Times New Roman" w:hAnsi="Times New Roman" w:cs="Times New Roman"/>
          <w:sz w:val="24"/>
          <w:szCs w:val="24"/>
        </w:rPr>
        <w:t>Vodi proračunsko računovodstvo temeljem Pravilnika o proračunskom računovodstvu i Računskom planu, a financijske izvještaje sastavlja i predaje u skladu s odredbama Pravilnika o financijskom izvještavanju u proračunskom računovodstvu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5463">
        <w:rPr>
          <w:rFonts w:ascii="Times New Roman" w:hAnsi="Times New Roman" w:cs="Times New Roman"/>
          <w:sz w:val="24"/>
          <w:szCs w:val="24"/>
        </w:rPr>
        <w:t xml:space="preserve">odgovorna osoba za potpisivanje i predaju financijskih izvještaja je </w:t>
      </w:r>
      <w:r w:rsidR="000B0599">
        <w:rPr>
          <w:rFonts w:ascii="Times New Roman" w:hAnsi="Times New Roman" w:cs="Times New Roman"/>
          <w:sz w:val="24"/>
          <w:szCs w:val="24"/>
        </w:rPr>
        <w:t>ravnatelj Ivica Živković, prof.</w:t>
      </w:r>
      <w:r w:rsidRPr="005554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A6634F" w14:textId="77777777" w:rsidR="00D929A3" w:rsidRPr="00BA32E3" w:rsidRDefault="00D929A3" w:rsidP="00804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C7DCE" w14:textId="01674604" w:rsidR="00D929A3" w:rsidRPr="00E8326A" w:rsidRDefault="00D929A3" w:rsidP="00804EA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26A">
        <w:rPr>
          <w:rFonts w:ascii="Times New Roman" w:hAnsi="Times New Roman" w:cs="Times New Roman"/>
          <w:b/>
          <w:bCs/>
          <w:sz w:val="24"/>
          <w:szCs w:val="24"/>
        </w:rPr>
        <w:t xml:space="preserve">Bilješke uz izvještaj </w:t>
      </w:r>
      <w:r w:rsidR="00555463">
        <w:rPr>
          <w:rFonts w:ascii="Times New Roman" w:hAnsi="Times New Roman" w:cs="Times New Roman"/>
          <w:b/>
          <w:bCs/>
          <w:sz w:val="24"/>
          <w:szCs w:val="24"/>
        </w:rPr>
        <w:t xml:space="preserve">o prihodima i rashodima, primicima i izdacima – Obrazac </w:t>
      </w:r>
      <w:r w:rsidRPr="00E8326A">
        <w:rPr>
          <w:rFonts w:ascii="Times New Roman" w:hAnsi="Times New Roman" w:cs="Times New Roman"/>
          <w:b/>
          <w:bCs/>
          <w:sz w:val="24"/>
          <w:szCs w:val="24"/>
        </w:rPr>
        <w:t>PR-RAS</w:t>
      </w:r>
    </w:p>
    <w:p w14:paraId="36F3D05B" w14:textId="5BD4961B" w:rsidR="00D929A3" w:rsidRPr="00555463" w:rsidRDefault="00D929A3" w:rsidP="00A220E8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ŠIFRA 636 - Pomoći proračunskim korisnicima iz proračuna koji im nije nadležan (šifre 6361+6362) - </w:t>
      </w:r>
      <w:r w:rsidRPr="00555463">
        <w:rPr>
          <w:rFonts w:ascii="Times New Roman" w:hAnsi="Times New Roman" w:cs="Times New Roman"/>
          <w:sz w:val="24"/>
          <w:szCs w:val="24"/>
        </w:rPr>
        <w:t xml:space="preserve">Tekuće pomoći imaju indeks povećanja </w:t>
      </w:r>
      <w:r w:rsidR="00555463">
        <w:rPr>
          <w:rFonts w:ascii="Times New Roman" w:hAnsi="Times New Roman" w:cs="Times New Roman"/>
          <w:sz w:val="24"/>
          <w:szCs w:val="24"/>
        </w:rPr>
        <w:t xml:space="preserve"> u odnosu na prethodno razdoblje </w:t>
      </w:r>
      <w:r w:rsidRPr="00555463">
        <w:rPr>
          <w:rFonts w:ascii="Times New Roman" w:hAnsi="Times New Roman" w:cs="Times New Roman"/>
          <w:sz w:val="24"/>
          <w:szCs w:val="24"/>
        </w:rPr>
        <w:t>zbog povećanja plaća, materijalnih prava zaposlenika</w:t>
      </w:r>
      <w:r w:rsidR="00555463">
        <w:rPr>
          <w:rFonts w:ascii="Times New Roman" w:hAnsi="Times New Roman" w:cs="Times New Roman"/>
          <w:sz w:val="24"/>
          <w:szCs w:val="24"/>
        </w:rPr>
        <w:t xml:space="preserve"> koji proizlaze iz temeljnog kolektivnog ugovora za zaposlenike u javnim službama, </w:t>
      </w:r>
      <w:r w:rsidR="0066025A">
        <w:rPr>
          <w:rFonts w:ascii="Times New Roman" w:hAnsi="Times New Roman" w:cs="Times New Roman"/>
          <w:sz w:val="24"/>
          <w:szCs w:val="24"/>
        </w:rPr>
        <w:t xml:space="preserve">te prihoda </w:t>
      </w:r>
      <w:r w:rsidR="00D23CA8">
        <w:rPr>
          <w:rFonts w:ascii="Times New Roman" w:hAnsi="Times New Roman" w:cs="Times New Roman"/>
          <w:sz w:val="24"/>
          <w:szCs w:val="24"/>
        </w:rPr>
        <w:t>za mentorstva, županijska stručna vijeća, prihod za menstrualne higijenske potrepštine za učenice Gimnazije Županja, te prihod za lektiru.</w:t>
      </w:r>
    </w:p>
    <w:p w14:paraId="428D03D5" w14:textId="2D6B26CC" w:rsidR="00D929A3" w:rsidRPr="00E8326A" w:rsidRDefault="00D929A3" w:rsidP="00A220E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ŠIFRA 638 - Pomoći temeljem prijenosa  EU sredstava (šifre 6381) - </w:t>
      </w:r>
    </w:p>
    <w:p w14:paraId="031B3A85" w14:textId="22064E15" w:rsidR="00D23CA8" w:rsidRDefault="00D929A3" w:rsidP="00D23CA8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Tekuće pomoći temeljem prijenosa EU sredstava bilježe indeks </w:t>
      </w:r>
      <w:r w:rsidR="00D23CA8">
        <w:rPr>
          <w:rFonts w:ascii="Times New Roman" w:hAnsi="Times New Roman" w:cs="Times New Roman"/>
          <w:sz w:val="24"/>
          <w:szCs w:val="24"/>
        </w:rPr>
        <w:t>rasta</w:t>
      </w:r>
      <w:r w:rsidR="0066025A">
        <w:rPr>
          <w:rFonts w:ascii="Times New Roman" w:hAnsi="Times New Roman" w:cs="Times New Roman"/>
          <w:sz w:val="24"/>
          <w:szCs w:val="24"/>
        </w:rPr>
        <w:t xml:space="preserve">, </w:t>
      </w:r>
      <w:r w:rsidR="00D23CA8">
        <w:rPr>
          <w:rFonts w:ascii="Times New Roman" w:hAnsi="Times New Roman" w:cs="Times New Roman"/>
          <w:sz w:val="24"/>
          <w:szCs w:val="24"/>
        </w:rPr>
        <w:t xml:space="preserve">budući da </w:t>
      </w:r>
      <w:r w:rsidR="00A220E8">
        <w:rPr>
          <w:rFonts w:ascii="Times New Roman" w:hAnsi="Times New Roman" w:cs="Times New Roman"/>
          <w:sz w:val="24"/>
          <w:szCs w:val="24"/>
        </w:rPr>
        <w:t xml:space="preserve">je </w:t>
      </w:r>
      <w:r w:rsidR="00D23CA8">
        <w:rPr>
          <w:rFonts w:ascii="Times New Roman" w:hAnsi="Times New Roman" w:cs="Times New Roman"/>
          <w:sz w:val="24"/>
          <w:szCs w:val="24"/>
        </w:rPr>
        <w:t xml:space="preserve"> Gimnazija Županja sudjelovala je u Erasmus+ projektu te ostvarila prihode po toj osnovi. </w:t>
      </w:r>
    </w:p>
    <w:p w14:paraId="6A307915" w14:textId="77777777" w:rsidR="00A220E8" w:rsidRPr="00A220E8" w:rsidRDefault="00D23CA8" w:rsidP="00A220E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D23CA8">
        <w:rPr>
          <w:rFonts w:ascii="Times New Roman" w:hAnsi="Times New Roman" w:cs="Times New Roman"/>
          <w:sz w:val="24"/>
          <w:szCs w:val="24"/>
        </w:rPr>
        <w:t>ŠIFRA 64 -</w:t>
      </w:r>
      <w:r w:rsidRPr="00D23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C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imovine (šifre 641+642+643)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 porast ove godine u odnosu na prethodnu godinu iz razloga prihoda od kupoprodaje nekretnine</w:t>
      </w:r>
    </w:p>
    <w:p w14:paraId="690AC1A7" w14:textId="246EB239" w:rsidR="00A220E8" w:rsidRPr="00A220E8" w:rsidRDefault="00D929A3" w:rsidP="00A220E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A220E8">
        <w:rPr>
          <w:rFonts w:ascii="Times New Roman" w:hAnsi="Times New Roman" w:cs="Times New Roman"/>
          <w:sz w:val="24"/>
          <w:szCs w:val="24"/>
        </w:rPr>
        <w:t>ŠIFRA 66</w:t>
      </w:r>
      <w:r w:rsidR="00D80AC8">
        <w:rPr>
          <w:rFonts w:ascii="Times New Roman" w:hAnsi="Times New Roman" w:cs="Times New Roman"/>
          <w:sz w:val="24"/>
          <w:szCs w:val="24"/>
        </w:rPr>
        <w:t>-</w:t>
      </w:r>
      <w:r w:rsidRPr="00A220E8">
        <w:rPr>
          <w:rFonts w:ascii="Times New Roman" w:hAnsi="Times New Roman" w:cs="Times New Roman"/>
          <w:sz w:val="24"/>
          <w:szCs w:val="24"/>
        </w:rPr>
        <w:t xml:space="preserve"> </w:t>
      </w:r>
      <w:r w:rsidR="00A220E8" w:rsidRPr="00A220E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proizvoda i robe te pruženih usluga, prihodi od donacija te povrati po protestiranim jamstvima (šifre 661+663)</w:t>
      </w:r>
      <w:r w:rsidR="00A220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indeks pada u odnosnu na prethodno izvještajno razdoblje </w:t>
      </w:r>
      <w:r w:rsidR="002E16A5">
        <w:rPr>
          <w:rFonts w:ascii="Times New Roman" w:eastAsia="Times New Roman" w:hAnsi="Times New Roman" w:cs="Times New Roman"/>
          <w:sz w:val="24"/>
          <w:szCs w:val="24"/>
          <w:lang w:eastAsia="hr-HR"/>
        </w:rPr>
        <w:t>zbog manje prihoda od najma prostora i sportske dvorane, prihoda od posredovanja pri radu učenika preko učeničkog servisa</w:t>
      </w:r>
    </w:p>
    <w:p w14:paraId="2226D9D1" w14:textId="77777777" w:rsidR="00054343" w:rsidRDefault="00162683" w:rsidP="0005434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ŠIFRA 31</w:t>
      </w:r>
      <w:r w:rsidR="00D929A3" w:rsidRPr="00E83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929A3" w:rsidRPr="00E83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zaposlene- </w:t>
      </w:r>
      <w:r w:rsidR="00D929A3" w:rsidRPr="00E8326A">
        <w:rPr>
          <w:rFonts w:ascii="Times New Roman" w:hAnsi="Times New Roman" w:cs="Times New Roman"/>
          <w:sz w:val="24"/>
          <w:szCs w:val="24"/>
        </w:rPr>
        <w:t xml:space="preserve"> (šifre 3111 do </w:t>
      </w:r>
      <w:r>
        <w:rPr>
          <w:rFonts w:ascii="Times New Roman" w:hAnsi="Times New Roman" w:cs="Times New Roman"/>
          <w:sz w:val="24"/>
          <w:szCs w:val="24"/>
        </w:rPr>
        <w:t>3133</w:t>
      </w:r>
      <w:r w:rsidR="00D929A3" w:rsidRPr="00E8326A">
        <w:rPr>
          <w:rFonts w:ascii="Times New Roman" w:hAnsi="Times New Roman" w:cs="Times New Roman"/>
          <w:sz w:val="24"/>
          <w:szCs w:val="24"/>
        </w:rPr>
        <w:t xml:space="preserve">) -  </w:t>
      </w:r>
      <w:r w:rsidR="009413DB" w:rsidRPr="00E8326A">
        <w:rPr>
          <w:rFonts w:ascii="Times New Roman" w:hAnsi="Times New Roman" w:cs="Times New Roman"/>
          <w:sz w:val="24"/>
          <w:szCs w:val="24"/>
        </w:rPr>
        <w:t xml:space="preserve">povećanje u odnosu na prethodno izvještajno razdoblje zbog povećanja  bruto plaće </w:t>
      </w:r>
      <w:r>
        <w:rPr>
          <w:rFonts w:ascii="Times New Roman" w:hAnsi="Times New Roman" w:cs="Times New Roman"/>
          <w:sz w:val="24"/>
          <w:szCs w:val="24"/>
        </w:rPr>
        <w:t xml:space="preserve">zaposlenika, time i doprinosa iz i na plaću </w:t>
      </w:r>
    </w:p>
    <w:p w14:paraId="64C71614" w14:textId="0ABAC7BF" w:rsidR="00054343" w:rsidRPr="00054343" w:rsidRDefault="00054343" w:rsidP="0005434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4343">
        <w:rPr>
          <w:rFonts w:ascii="Times New Roman" w:hAnsi="Times New Roman" w:cs="Times New Roman"/>
          <w:sz w:val="24"/>
          <w:szCs w:val="24"/>
        </w:rPr>
        <w:t xml:space="preserve">ŠIFRA 322 - </w:t>
      </w:r>
      <w:r w:rsidRPr="000543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materijal i energiju (šifre 3221 do 3227)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smanjenje materijalnih rashoda u odnosnu na prethodnu godinu, zbog manjih rashoda </w:t>
      </w:r>
      <w:r w:rsidR="002E16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energente i materijal za tekuće i investicijsko održavanje</w:t>
      </w:r>
    </w:p>
    <w:p w14:paraId="1F1D0767" w14:textId="2E373DE5" w:rsidR="00030980" w:rsidRPr="00E8326A" w:rsidRDefault="00030980" w:rsidP="00D929A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>ŠIFRA 32</w:t>
      </w:r>
      <w:r w:rsidR="00162683">
        <w:rPr>
          <w:rFonts w:ascii="Times New Roman" w:hAnsi="Times New Roman" w:cs="Times New Roman"/>
          <w:sz w:val="24"/>
          <w:szCs w:val="24"/>
        </w:rPr>
        <w:t>3</w:t>
      </w:r>
      <w:r w:rsidRPr="00E8326A">
        <w:rPr>
          <w:rFonts w:ascii="Times New Roman" w:hAnsi="Times New Roman" w:cs="Times New Roman"/>
          <w:sz w:val="24"/>
          <w:szCs w:val="24"/>
        </w:rPr>
        <w:t xml:space="preserve"> – </w:t>
      </w:r>
      <w:r w:rsidR="00162683">
        <w:rPr>
          <w:rFonts w:ascii="Times New Roman" w:hAnsi="Times New Roman" w:cs="Times New Roman"/>
          <w:sz w:val="24"/>
          <w:szCs w:val="24"/>
        </w:rPr>
        <w:t>Rashodi za usluge</w:t>
      </w:r>
      <w:r w:rsidRPr="00E8326A">
        <w:rPr>
          <w:rFonts w:ascii="Times New Roman" w:hAnsi="Times New Roman" w:cs="Times New Roman"/>
          <w:sz w:val="24"/>
          <w:szCs w:val="24"/>
        </w:rPr>
        <w:t xml:space="preserve"> (šifra 32</w:t>
      </w:r>
      <w:r w:rsidR="00162683">
        <w:rPr>
          <w:rFonts w:ascii="Times New Roman" w:hAnsi="Times New Roman" w:cs="Times New Roman"/>
          <w:sz w:val="24"/>
          <w:szCs w:val="24"/>
        </w:rPr>
        <w:t>31</w:t>
      </w:r>
      <w:r w:rsidRPr="00E8326A">
        <w:rPr>
          <w:rFonts w:ascii="Times New Roman" w:hAnsi="Times New Roman" w:cs="Times New Roman"/>
          <w:sz w:val="24"/>
          <w:szCs w:val="24"/>
        </w:rPr>
        <w:t>-32</w:t>
      </w:r>
      <w:r w:rsidR="00162683">
        <w:rPr>
          <w:rFonts w:ascii="Times New Roman" w:hAnsi="Times New Roman" w:cs="Times New Roman"/>
          <w:sz w:val="24"/>
          <w:szCs w:val="24"/>
        </w:rPr>
        <w:t>39</w:t>
      </w:r>
      <w:r w:rsidRPr="00E8326A">
        <w:rPr>
          <w:rFonts w:ascii="Times New Roman" w:hAnsi="Times New Roman" w:cs="Times New Roman"/>
          <w:sz w:val="24"/>
          <w:szCs w:val="24"/>
        </w:rPr>
        <w:t xml:space="preserve">) –povećanje u odnosu na prethodno izvještajno razdoblje zbog </w:t>
      </w:r>
      <w:r w:rsidR="00054343">
        <w:rPr>
          <w:rFonts w:ascii="Times New Roman" w:hAnsi="Times New Roman" w:cs="Times New Roman"/>
          <w:sz w:val="24"/>
          <w:szCs w:val="24"/>
        </w:rPr>
        <w:t>tekućeg i invensticijskog održavanja školskih učionica</w:t>
      </w:r>
      <w:r w:rsidR="002E16A5">
        <w:rPr>
          <w:rFonts w:ascii="Times New Roman" w:hAnsi="Times New Roman" w:cs="Times New Roman"/>
          <w:sz w:val="24"/>
          <w:szCs w:val="24"/>
        </w:rPr>
        <w:t xml:space="preserve"> i povećanja cijena komunalnih usluga</w:t>
      </w:r>
    </w:p>
    <w:p w14:paraId="2657662A" w14:textId="0F8E8466" w:rsidR="002E16A5" w:rsidRDefault="00D929A3" w:rsidP="00D929A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6A">
        <w:rPr>
          <w:rFonts w:ascii="Times New Roman" w:hAnsi="Times New Roman" w:cs="Times New Roman"/>
          <w:sz w:val="24"/>
          <w:szCs w:val="24"/>
        </w:rPr>
        <w:t xml:space="preserve">ŠIFRA </w:t>
      </w:r>
      <w:r w:rsidR="002E16A5">
        <w:rPr>
          <w:rFonts w:ascii="Times New Roman" w:hAnsi="Times New Roman" w:cs="Times New Roman"/>
          <w:sz w:val="24"/>
          <w:szCs w:val="24"/>
        </w:rPr>
        <w:t>329</w:t>
      </w:r>
      <w:r w:rsidRPr="00E8326A">
        <w:rPr>
          <w:rFonts w:ascii="Times New Roman" w:hAnsi="Times New Roman" w:cs="Times New Roman"/>
          <w:sz w:val="24"/>
          <w:szCs w:val="24"/>
        </w:rPr>
        <w:t xml:space="preserve"> - Ostali </w:t>
      </w:r>
      <w:r w:rsidR="002E16A5">
        <w:rPr>
          <w:rFonts w:ascii="Times New Roman" w:hAnsi="Times New Roman" w:cs="Times New Roman"/>
          <w:sz w:val="24"/>
          <w:szCs w:val="24"/>
        </w:rPr>
        <w:t>nespomenuti rashodi poslovanja</w:t>
      </w:r>
      <w:r w:rsidRPr="00E8326A">
        <w:rPr>
          <w:rFonts w:ascii="Times New Roman" w:hAnsi="Times New Roman" w:cs="Times New Roman"/>
          <w:sz w:val="24"/>
          <w:szCs w:val="24"/>
        </w:rPr>
        <w:t xml:space="preserve"> – </w:t>
      </w:r>
      <w:r w:rsidR="002E16A5">
        <w:rPr>
          <w:rFonts w:ascii="Times New Roman" w:hAnsi="Times New Roman" w:cs="Times New Roman"/>
          <w:sz w:val="24"/>
          <w:szCs w:val="24"/>
        </w:rPr>
        <w:t>povećanje u odnosu na prethodno razdoblje zbog povećanja cijena premije osiguranja, te ostalih nespomenutih rashoda za materijal potreban za redovno poslovanje</w:t>
      </w:r>
      <w:r w:rsidR="0002490F">
        <w:rPr>
          <w:rFonts w:ascii="Times New Roman" w:hAnsi="Times New Roman" w:cs="Times New Roman"/>
          <w:sz w:val="24"/>
          <w:szCs w:val="24"/>
        </w:rPr>
        <w:t>, te rashoda za vijence i cvijeće zbog smrtnih slučajeva članova obitelji zaposlenika škole.</w:t>
      </w:r>
    </w:p>
    <w:p w14:paraId="394E4BAF" w14:textId="2B688E90" w:rsidR="00D929A3" w:rsidRPr="00E8326A" w:rsidRDefault="00D929A3" w:rsidP="00D929A3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42 – </w:t>
      </w:r>
      <w:r w:rsidR="00076D83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proizvedene dugotrajne imovine (šifre 422</w:t>
      </w: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42</w:t>
      </w:r>
      <w:r w:rsidR="00076D83">
        <w:rPr>
          <w:rFonts w:ascii="Times New Roman" w:eastAsia="Times New Roman" w:hAnsi="Times New Roman" w:cs="Times New Roman"/>
          <w:sz w:val="24"/>
          <w:szCs w:val="24"/>
          <w:lang w:eastAsia="hr-HR"/>
        </w:rPr>
        <w:t>41</w:t>
      </w: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>) –</w:t>
      </w:r>
      <w:r w:rsidR="000249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u odnosu na prethodnu godinu budući da se prethodne godine sanirala šteta nastala od nevremena, te su rashodi za uredski namještaj i opremu i opremu za održavanje veći prethodne godine, ove godine rashodi za nabavu nefinancijske imovine su manji, budući da se manje ulagalo  u opremu. </w:t>
      </w:r>
    </w:p>
    <w:p w14:paraId="03521CB4" w14:textId="517F6436" w:rsidR="00D929A3" w:rsidRPr="00E8326A" w:rsidRDefault="00D929A3" w:rsidP="00D929A3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11K – Stanje novčanih sredstava na dan </w:t>
      </w:r>
      <w:r w:rsidR="00122558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076D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22558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="00076D83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iznosi </w:t>
      </w:r>
      <w:r w:rsidR="00076D83"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Pr="00E8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7C37B7D1" w14:textId="77777777" w:rsidR="00D929A3" w:rsidRDefault="00D929A3" w:rsidP="00D929A3">
      <w:pPr>
        <w:pStyle w:val="ListParagraph"/>
        <w:ind w:left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030BA00" w14:textId="3C93F180" w:rsidR="00122558" w:rsidRDefault="00122558" w:rsidP="00804EA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26A">
        <w:rPr>
          <w:rFonts w:ascii="Times New Roman" w:hAnsi="Times New Roman" w:cs="Times New Roman"/>
          <w:b/>
          <w:bCs/>
          <w:sz w:val="24"/>
          <w:szCs w:val="24"/>
        </w:rPr>
        <w:t xml:space="preserve">Bilješke uz izvještaj </w:t>
      </w:r>
      <w:r>
        <w:rPr>
          <w:rFonts w:ascii="Times New Roman" w:hAnsi="Times New Roman" w:cs="Times New Roman"/>
          <w:b/>
          <w:bCs/>
          <w:sz w:val="24"/>
          <w:szCs w:val="24"/>
        </w:rPr>
        <w:t>o prihodima i rashodima, primicima i izdacima – Obrazac BILANCA</w:t>
      </w:r>
    </w:p>
    <w:p w14:paraId="779211D4" w14:textId="77777777" w:rsidR="00122558" w:rsidRDefault="00122558" w:rsidP="00122558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A1F1E" w14:textId="5D5655AF" w:rsidR="00122558" w:rsidRDefault="00122558" w:rsidP="00122558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11 – stanje na žiroračunu dan 31.12.202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iznosi 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>, budući da poslujemo putem jedinstvenog sustava Riznice Vukovarsko-srijemske županije, te je stanje podračuna iskazano na kontu 16721</w:t>
      </w:r>
    </w:p>
    <w:p w14:paraId="23D810EF" w14:textId="69CC2EAA" w:rsidR="00122558" w:rsidRDefault="00122558" w:rsidP="00122558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193 – kontinuirani rashodi budućeg razdoblja odnose se na  plaću za prosinac 202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te isplatu materijalnih prava zaposlenika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12/2024.</w:t>
      </w:r>
    </w:p>
    <w:p w14:paraId="330E6430" w14:textId="06E1F991" w:rsidR="00C310AE" w:rsidRDefault="00122558" w:rsidP="00C310A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23 – Obveze za rashode poslovanja – povećanje u odnosu na izvještajno razdoblje prethodne godine </w:t>
      </w:r>
      <w:r w:rsidR="00C310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231 – obveza za zaposlene</w:t>
      </w:r>
      <w:r w:rsidR="00597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povećanja obveza za plaću i isplatu materijalnih prava zaposlenika</w:t>
      </w:r>
      <w:r w:rsidR="00597DB7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smanjenje na 232 – obveza za materijalne rashode u odnosu na prethodnu godinu</w:t>
      </w:r>
    </w:p>
    <w:p w14:paraId="2BA0EB55" w14:textId="7702D320" w:rsidR="00597DB7" w:rsidRPr="00597DB7" w:rsidRDefault="00597DB7" w:rsidP="00EB4794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9111- Vlasiti izvori iz proračuna jednaki su ukupnoj imovini, te su </w:t>
      </w:r>
      <w:r w:rsidR="0002490F">
        <w:rPr>
          <w:rFonts w:ascii="Times New Roman" w:eastAsia="Times New Roman" w:hAnsi="Times New Roman" w:cs="Times New Roman"/>
          <w:sz w:val="24"/>
          <w:szCs w:val="24"/>
          <w:lang w:eastAsia="hr-HR"/>
        </w:rPr>
        <w:t>manji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prethodno razdoblje</w:t>
      </w:r>
    </w:p>
    <w:p w14:paraId="4B60B131" w14:textId="16CE27F5" w:rsidR="00597DB7" w:rsidRPr="00804EA0" w:rsidRDefault="00597DB7" w:rsidP="00597DB7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92211 – prikazuje ukupan višak poslovanja, nakon obvezne korekcije rezultata poslovanja</w:t>
      </w:r>
      <w:r w:rsidR="0002490F">
        <w:rPr>
          <w:rFonts w:ascii="Times New Roman" w:eastAsia="Times New Roman" w:hAnsi="Times New Roman" w:cs="Times New Roman"/>
          <w:sz w:val="24"/>
          <w:szCs w:val="24"/>
          <w:lang w:eastAsia="hr-HR"/>
        </w:rPr>
        <w:t>, te je  manji u odnosu na prethodno razdoblje, budući da je manjak prihoda pokriven iz prenesenog viška prihoda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4BCE3A" w14:textId="5A94BAC6" w:rsidR="00804EA0" w:rsidRDefault="00122558" w:rsidP="00C76D8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558">
        <w:rPr>
          <w:rFonts w:ascii="Times New Roman" w:hAnsi="Times New Roman" w:cs="Times New Roman"/>
          <w:sz w:val="24"/>
          <w:szCs w:val="24"/>
        </w:rPr>
        <w:t xml:space="preserve">Popis ugovornih odnosa koji uz ispunjenje određenih uvjeta mogu postati obveza ili imovina: </w:t>
      </w:r>
    </w:p>
    <w:p w14:paraId="5CCBD44C" w14:textId="77777777" w:rsidR="00804EA0" w:rsidRPr="00122558" w:rsidRDefault="00804EA0" w:rsidP="0012255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0" w:type="dxa"/>
        <w:tblInd w:w="-147" w:type="dxa"/>
        <w:tblLook w:val="04A0" w:firstRow="1" w:lastRow="0" w:firstColumn="1" w:lastColumn="0" w:noHBand="0" w:noVBand="1"/>
      </w:tblPr>
      <w:tblGrid>
        <w:gridCol w:w="568"/>
        <w:gridCol w:w="4178"/>
        <w:gridCol w:w="1518"/>
        <w:gridCol w:w="1498"/>
        <w:gridCol w:w="1588"/>
      </w:tblGrid>
      <w:tr w:rsidR="00122558" w14:paraId="7CAB1E78" w14:textId="77777777" w:rsidTr="00804EA0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A34A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294C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32A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1D5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</w:tr>
      <w:tr w:rsidR="00122558" w14:paraId="416157FE" w14:textId="77777777" w:rsidTr="00804EA0">
        <w:trPr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67B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1450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FC8F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B5F8" w14:textId="77777777" w:rsidR="00122558" w:rsidRDefault="0012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DUGUJE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B187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POTRAŽUJE</w:t>
            </w:r>
          </w:p>
        </w:tc>
      </w:tr>
      <w:tr w:rsidR="00122558" w14:paraId="0C8E661E" w14:textId="77777777" w:rsidTr="00804EA0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7DD8" w14:textId="77777777" w:rsidR="00122558" w:rsidRDefault="0012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A7C1" w14:textId="362B229E" w:rsidR="00122558" w:rsidRDefault="0012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ugovornih odnosa koji mogu postati obveza</w:t>
            </w:r>
            <w:r w:rsidR="00891EAD">
              <w:rPr>
                <w:rFonts w:ascii="Times New Roman" w:hAnsi="Times New Roman" w:cs="Times New Roman"/>
                <w:sz w:val="24"/>
                <w:szCs w:val="24"/>
              </w:rPr>
              <w:t>/imovina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95A40" w14:textId="4038372D" w:rsidR="00122558" w:rsidRDefault="0012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980" w14:textId="0140F6E7" w:rsidR="00122558" w:rsidRDefault="0089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B94" w14:textId="577A872E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92C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33"/>
        <w:tblW w:w="9175" w:type="dxa"/>
        <w:tblLook w:val="04A0" w:firstRow="1" w:lastRow="0" w:firstColumn="1" w:lastColumn="0" w:noHBand="0" w:noVBand="1"/>
      </w:tblPr>
      <w:tblGrid>
        <w:gridCol w:w="561"/>
        <w:gridCol w:w="4112"/>
        <w:gridCol w:w="1329"/>
        <w:gridCol w:w="1540"/>
        <w:gridCol w:w="1633"/>
      </w:tblGrid>
      <w:tr w:rsidR="00122558" w14:paraId="61D8A235" w14:textId="77777777" w:rsidTr="00804EA0">
        <w:trPr>
          <w:trHeight w:val="23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B2A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61ED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8881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9AAC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</w:tr>
      <w:tr w:rsidR="00122558" w14:paraId="0F912601" w14:textId="77777777" w:rsidTr="00804EA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B07B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47BC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C41A" w14:textId="77777777" w:rsidR="00122558" w:rsidRDefault="0012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D3E3" w14:textId="77777777" w:rsidR="00122558" w:rsidRDefault="0012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DUGUJE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F62" w14:textId="7777777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POTRAŽUJE</w:t>
            </w:r>
          </w:p>
        </w:tc>
      </w:tr>
      <w:tr w:rsidR="00122558" w14:paraId="44898A14" w14:textId="77777777" w:rsidTr="00804EA0">
        <w:trPr>
          <w:trHeight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BF11" w14:textId="77777777" w:rsidR="00122558" w:rsidRDefault="0012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D831" w14:textId="3717462F" w:rsidR="00122558" w:rsidRDefault="0012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Tuđa imovina dobivena na korištenje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7F1" w14:textId="39A85894" w:rsidR="00804EA0" w:rsidRPr="00804EA0" w:rsidRDefault="00804EA0" w:rsidP="0080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4CC" w14:textId="4E6996A7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B16" w14:textId="47A98BEB" w:rsidR="00122558" w:rsidRDefault="0012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B25DE" w14:textId="77777777" w:rsidR="00122558" w:rsidRPr="00122558" w:rsidRDefault="00122558" w:rsidP="0012255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65944" w14:textId="237DDA20" w:rsidR="00122558" w:rsidRDefault="00122558" w:rsidP="001225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1D73" w14:textId="4893FA59" w:rsidR="00891EAD" w:rsidRDefault="00891EAD" w:rsidP="001225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Popis sudskih sporova u tijeku</w:t>
      </w:r>
    </w:p>
    <w:tbl>
      <w:tblPr>
        <w:tblStyle w:val="TableGrid"/>
        <w:tblpPr w:leftFromText="180" w:rightFromText="180" w:vertAnchor="text" w:horzAnchor="margin" w:tblpXSpec="right" w:tblpY="433"/>
        <w:tblW w:w="8974" w:type="dxa"/>
        <w:tblLook w:val="04A0" w:firstRow="1" w:lastRow="0" w:firstColumn="1" w:lastColumn="0" w:noHBand="0" w:noVBand="1"/>
      </w:tblPr>
      <w:tblGrid>
        <w:gridCol w:w="537"/>
        <w:gridCol w:w="2860"/>
        <w:gridCol w:w="2556"/>
        <w:gridCol w:w="1467"/>
        <w:gridCol w:w="1554"/>
      </w:tblGrid>
      <w:tr w:rsidR="00891EAD" w14:paraId="059A5D1B" w14:textId="77777777" w:rsidTr="00804EA0">
        <w:trPr>
          <w:trHeight w:val="24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2A7" w14:textId="77777777" w:rsid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B12" w14:textId="48BBCA14" w:rsid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PRIRODE SPORA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5250" w14:textId="7DAC41E8" w:rsidR="00891EAD" w:rsidRP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Procijenjeno vrijeme odljeva/priljeva sredstava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D0C8" w14:textId="1DA0AEE6" w:rsidR="00891EAD" w:rsidRP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PROCJENA FINANCIJSKOG UČINKA</w:t>
            </w:r>
          </w:p>
        </w:tc>
      </w:tr>
      <w:tr w:rsidR="00891EAD" w14:paraId="6A12CBAD" w14:textId="77777777" w:rsidTr="00804EA0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7D20" w14:textId="77777777" w:rsidR="00891EAD" w:rsidRDefault="00891EAD" w:rsidP="00A0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DD76" w14:textId="77777777" w:rsidR="00891EAD" w:rsidRDefault="00891EAD" w:rsidP="00A0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D17B" w14:textId="77777777" w:rsidR="00891EAD" w:rsidRPr="00891EAD" w:rsidRDefault="00891EAD" w:rsidP="00A0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ED0" w14:textId="61788446" w:rsidR="00891EAD" w:rsidRP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9751" w14:textId="270603D7" w:rsid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Imovina </w:t>
            </w:r>
          </w:p>
        </w:tc>
      </w:tr>
      <w:tr w:rsidR="00891EAD" w14:paraId="2FB805F4" w14:textId="77777777" w:rsidTr="00804EA0">
        <w:trPr>
          <w:trHeight w:val="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019" w14:textId="77777777" w:rsidR="00891EAD" w:rsidRDefault="00891EAD" w:rsidP="00A02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0A2" w14:textId="19492C59" w:rsidR="00891EAD" w:rsidRDefault="00804EA0" w:rsidP="0080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D92" w14:textId="17391204" w:rsidR="00891EAD" w:rsidRDefault="00804EA0" w:rsidP="0089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D38" w14:textId="77777777" w:rsid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325" w14:textId="77777777" w:rsidR="00891EAD" w:rsidRDefault="00891EAD" w:rsidP="00A0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8A43F" w14:textId="77777777" w:rsidR="00891EAD" w:rsidRDefault="00891EAD" w:rsidP="0012255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CDC00" w14:textId="6186C01D" w:rsidR="00122558" w:rsidRDefault="00891EAD" w:rsidP="00891E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Obvezne bilješke uz Bilancu iz čl. 15. stavka 2. Pravilnika se ne iskazuju, jer školska ustanova takve podatke nema iskazane u Bilanci.</w:t>
      </w:r>
    </w:p>
    <w:p w14:paraId="01973389" w14:textId="77777777" w:rsidR="00891EAD" w:rsidRDefault="00891EAD" w:rsidP="00891E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66469" w14:textId="77777777" w:rsidR="00891EAD" w:rsidRPr="00891EAD" w:rsidRDefault="00891EAD" w:rsidP="00891EA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1E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RAS-funkcijski</w:t>
      </w:r>
    </w:p>
    <w:p w14:paraId="62B6CFE8" w14:textId="1DE30D45" w:rsidR="00891EAD" w:rsidRPr="00891EAD" w:rsidRDefault="00891EAD" w:rsidP="00891E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09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srednjoškolsko </w:t>
      </w: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 </w:t>
      </w:r>
      <w:r w:rsid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prikazani su </w:t>
      </w: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</w:t>
      </w:r>
      <w:r w:rsid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891EAD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rashodi poslovanja</w:t>
      </w:r>
      <w:r w:rsid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su nešto veći u odnosu na prethodno razdoblje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povećanja rashoda za zaposlene, povećanja tržišnih cijena, koje se odrazilo na ukupne materijalne rashode. </w:t>
      </w:r>
    </w:p>
    <w:p w14:paraId="7DB5E337" w14:textId="77777777" w:rsidR="00994E24" w:rsidRDefault="00994E24" w:rsidP="00891E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106826" w14:textId="77777777" w:rsidR="00994E24" w:rsidRPr="00994E24" w:rsidRDefault="00994E24" w:rsidP="00994E2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94E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P-VRIO</w:t>
      </w:r>
    </w:p>
    <w:p w14:paraId="462C2ED3" w14:textId="5A48D6C0" w:rsidR="00994E24" w:rsidRPr="00994E24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01.01.-31.12.2024. godine nije bilo promjena u vrijednosti i obujmu imovine i obveza</w:t>
      </w:r>
      <w:r w:rsid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0D3563" w14:textId="77777777" w:rsidR="00994E24" w:rsidRPr="00994E24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C5DD8D" w14:textId="77777777" w:rsidR="00994E24" w:rsidRPr="00994E24" w:rsidRDefault="00994E24" w:rsidP="00994E2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94E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obrazac OBVEZE</w:t>
      </w:r>
    </w:p>
    <w:p w14:paraId="4AD121BF" w14:textId="77777777" w:rsidR="00994E24" w:rsidRPr="00994E24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866B7" w14:textId="2A547248" w:rsidR="00994E24" w:rsidRPr="00994E24" w:rsidRDefault="00994E24" w:rsidP="00994E24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V001 – Stanje obveza na dan 1. siječnja 202</w:t>
      </w:r>
      <w:r w:rsid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iznosi </w:t>
      </w:r>
      <w:r w:rsidR="00C76D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97.185,89</w:t>
      </w:r>
      <w:r w:rsidR="00D16A90" w:rsidRPr="00D16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14:paraId="67C72617" w14:textId="2FF2D19A" w:rsidR="00D16A90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V006 – Stanje obveza na kraju izvještajnog razdoblja iznosi 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>102.564,45</w:t>
      </w:r>
      <w:r w:rsidRPr="00994E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14:paraId="49F3E488" w14:textId="0944A966" w:rsidR="00D16A90" w:rsidRDefault="00D16A90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V007 – Stanje dospjelih obveza na kraju izvještajnog razdoblje nema, budući da su svi računi s dospjećem plaćanja na dan 31.12.2024. plaćeni</w:t>
      </w:r>
    </w:p>
    <w:p w14:paraId="15DA527F" w14:textId="4ADA8F2F" w:rsidR="00D16A90" w:rsidRDefault="00D16A90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V009 – Stanje nedospjelih obveza na kraju izvještajnog razdoblja  iznosi </w:t>
      </w:r>
      <w:r w:rsidR="00C76D85">
        <w:rPr>
          <w:rFonts w:ascii="Times New Roman" w:eastAsia="Times New Roman" w:hAnsi="Times New Roman" w:cs="Times New Roman"/>
          <w:sz w:val="24"/>
          <w:szCs w:val="24"/>
          <w:lang w:eastAsia="hr-HR"/>
        </w:rPr>
        <w:t>102.564,45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odnosi se na plaću za 12. mjesec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dospijeva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siječnja 2025. godine,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materijalna prava zaposlenika koja dospijevaju 27. siječnja 2025. godine, te 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obveze za </w:t>
      </w:r>
      <w:r w:rsidR="00804E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materijalne 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rashode </w:t>
      </w:r>
      <w:r w:rsidR="00804E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dospijećem plaćanja u 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</w:t>
      </w:r>
      <w:r w:rsidR="00804E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="00804EA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međusobne obveze subjekata općeg proračuna, odnose se</w:t>
      </w:r>
      <w:r w:rsidRPr="00D16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obveze za povrat u proračun za bolovanje preko</w:t>
      </w:r>
      <w:r w:rsidR="00804E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42 dana.</w:t>
      </w:r>
    </w:p>
    <w:p w14:paraId="6ABFE710" w14:textId="77777777" w:rsidR="00994E24" w:rsidRPr="00994E24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053EF" w14:textId="77777777" w:rsidR="00994E24" w:rsidRPr="00994E24" w:rsidRDefault="00994E24" w:rsidP="00994E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9B30C" w14:textId="713F9A44" w:rsidR="00570637" w:rsidRDefault="00361E71" w:rsidP="00361E7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4F28491C" w14:textId="1F4AC634" w:rsidR="00361E71" w:rsidRDefault="00361E71" w:rsidP="00D162E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9028A7" w14:textId="430E8997" w:rsidR="00361E71" w:rsidRPr="0007110D" w:rsidRDefault="00361E71" w:rsidP="00361E7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6D85">
        <w:rPr>
          <w:rFonts w:ascii="Times New Roman" w:hAnsi="Times New Roman" w:cs="Times New Roman"/>
          <w:sz w:val="24"/>
          <w:szCs w:val="24"/>
        </w:rPr>
        <w:t xml:space="preserve">Ivica Živković, prof. </w:t>
      </w:r>
    </w:p>
    <w:sectPr w:rsidR="00361E71" w:rsidRPr="0007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05B"/>
    <w:multiLevelType w:val="hybridMultilevel"/>
    <w:tmpl w:val="3CB8A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8A3"/>
    <w:multiLevelType w:val="hybridMultilevel"/>
    <w:tmpl w:val="287A3D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E3CC7"/>
    <w:multiLevelType w:val="hybridMultilevel"/>
    <w:tmpl w:val="657A994C"/>
    <w:lvl w:ilvl="0" w:tplc="926E03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A0AC7"/>
    <w:multiLevelType w:val="hybridMultilevel"/>
    <w:tmpl w:val="65FAC7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640CEF"/>
    <w:multiLevelType w:val="hybridMultilevel"/>
    <w:tmpl w:val="2A509398"/>
    <w:lvl w:ilvl="0" w:tplc="81DC63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3363"/>
    <w:multiLevelType w:val="hybridMultilevel"/>
    <w:tmpl w:val="F75648B2"/>
    <w:lvl w:ilvl="0" w:tplc="7CEAC18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82E9E"/>
    <w:multiLevelType w:val="hybridMultilevel"/>
    <w:tmpl w:val="9738C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F35"/>
    <w:multiLevelType w:val="hybridMultilevel"/>
    <w:tmpl w:val="5B449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2ABA"/>
    <w:multiLevelType w:val="hybridMultilevel"/>
    <w:tmpl w:val="10D87ECA"/>
    <w:lvl w:ilvl="0" w:tplc="84C06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3E49"/>
    <w:multiLevelType w:val="hybridMultilevel"/>
    <w:tmpl w:val="57D02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54E8A"/>
    <w:multiLevelType w:val="hybridMultilevel"/>
    <w:tmpl w:val="E466AF18"/>
    <w:lvl w:ilvl="0" w:tplc="D8F6F8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426766">
    <w:abstractNumId w:val="0"/>
  </w:num>
  <w:num w:numId="2" w16cid:durableId="427577027">
    <w:abstractNumId w:val="9"/>
  </w:num>
  <w:num w:numId="3" w16cid:durableId="226571420">
    <w:abstractNumId w:val="5"/>
  </w:num>
  <w:num w:numId="4" w16cid:durableId="1648510333">
    <w:abstractNumId w:val="6"/>
  </w:num>
  <w:num w:numId="5" w16cid:durableId="2024015055">
    <w:abstractNumId w:val="1"/>
  </w:num>
  <w:num w:numId="6" w16cid:durableId="1635528112">
    <w:abstractNumId w:val="3"/>
  </w:num>
  <w:num w:numId="7" w16cid:durableId="999693397">
    <w:abstractNumId w:val="10"/>
  </w:num>
  <w:num w:numId="8" w16cid:durableId="1702316608">
    <w:abstractNumId w:val="7"/>
  </w:num>
  <w:num w:numId="9" w16cid:durableId="1597132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677741">
    <w:abstractNumId w:val="4"/>
  </w:num>
  <w:num w:numId="11" w16cid:durableId="1693416380">
    <w:abstractNumId w:val="2"/>
  </w:num>
  <w:num w:numId="12" w16cid:durableId="150826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969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98"/>
    <w:rsid w:val="0002490F"/>
    <w:rsid w:val="00030980"/>
    <w:rsid w:val="00054343"/>
    <w:rsid w:val="0007110D"/>
    <w:rsid w:val="00076D83"/>
    <w:rsid w:val="00090509"/>
    <w:rsid w:val="000A345F"/>
    <w:rsid w:val="000A6BE3"/>
    <w:rsid w:val="000B0599"/>
    <w:rsid w:val="000E125E"/>
    <w:rsid w:val="000F3464"/>
    <w:rsid w:val="001065F9"/>
    <w:rsid w:val="00122558"/>
    <w:rsid w:val="00162683"/>
    <w:rsid w:val="00193428"/>
    <w:rsid w:val="00221AF0"/>
    <w:rsid w:val="002C7C77"/>
    <w:rsid w:val="002E16A5"/>
    <w:rsid w:val="0030775E"/>
    <w:rsid w:val="003369BC"/>
    <w:rsid w:val="00361E71"/>
    <w:rsid w:val="00377CE6"/>
    <w:rsid w:val="00382F1C"/>
    <w:rsid w:val="0038526B"/>
    <w:rsid w:val="003927E8"/>
    <w:rsid w:val="003965E4"/>
    <w:rsid w:val="00433BA4"/>
    <w:rsid w:val="00466AE1"/>
    <w:rsid w:val="004921ED"/>
    <w:rsid w:val="004B26BD"/>
    <w:rsid w:val="004B584A"/>
    <w:rsid w:val="004B63D9"/>
    <w:rsid w:val="004D2840"/>
    <w:rsid w:val="004D494A"/>
    <w:rsid w:val="004F1AA9"/>
    <w:rsid w:val="00502234"/>
    <w:rsid w:val="00555463"/>
    <w:rsid w:val="00563ADE"/>
    <w:rsid w:val="00570637"/>
    <w:rsid w:val="00586777"/>
    <w:rsid w:val="00597DB7"/>
    <w:rsid w:val="00627447"/>
    <w:rsid w:val="00633FBF"/>
    <w:rsid w:val="00635B36"/>
    <w:rsid w:val="0066025A"/>
    <w:rsid w:val="006B1972"/>
    <w:rsid w:val="006D63FB"/>
    <w:rsid w:val="0072626D"/>
    <w:rsid w:val="0077300E"/>
    <w:rsid w:val="007E168E"/>
    <w:rsid w:val="007F7106"/>
    <w:rsid w:val="00804EA0"/>
    <w:rsid w:val="00821749"/>
    <w:rsid w:val="00850A30"/>
    <w:rsid w:val="00886A93"/>
    <w:rsid w:val="00891EAD"/>
    <w:rsid w:val="008B291D"/>
    <w:rsid w:val="008C0AE6"/>
    <w:rsid w:val="009413DB"/>
    <w:rsid w:val="00971FFF"/>
    <w:rsid w:val="00994E24"/>
    <w:rsid w:val="009C00DF"/>
    <w:rsid w:val="009C6524"/>
    <w:rsid w:val="009C745C"/>
    <w:rsid w:val="009E4698"/>
    <w:rsid w:val="00A220E8"/>
    <w:rsid w:val="00A5676F"/>
    <w:rsid w:val="00A65D37"/>
    <w:rsid w:val="00A84C8F"/>
    <w:rsid w:val="00AF2E2C"/>
    <w:rsid w:val="00AF7A17"/>
    <w:rsid w:val="00B53FFD"/>
    <w:rsid w:val="00B80A63"/>
    <w:rsid w:val="00C04250"/>
    <w:rsid w:val="00C310AE"/>
    <w:rsid w:val="00C76D85"/>
    <w:rsid w:val="00CA0F8E"/>
    <w:rsid w:val="00CD131C"/>
    <w:rsid w:val="00CE3672"/>
    <w:rsid w:val="00CF0E67"/>
    <w:rsid w:val="00D162E1"/>
    <w:rsid w:val="00D16A90"/>
    <w:rsid w:val="00D23CA8"/>
    <w:rsid w:val="00D34A50"/>
    <w:rsid w:val="00D4301D"/>
    <w:rsid w:val="00D80AC8"/>
    <w:rsid w:val="00D902E7"/>
    <w:rsid w:val="00D9269E"/>
    <w:rsid w:val="00D929A3"/>
    <w:rsid w:val="00DC1985"/>
    <w:rsid w:val="00DE2A2B"/>
    <w:rsid w:val="00E242BF"/>
    <w:rsid w:val="00E47446"/>
    <w:rsid w:val="00E8326A"/>
    <w:rsid w:val="00EA5CF3"/>
    <w:rsid w:val="00F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5CF"/>
  <w15:chartTrackingRefBased/>
  <w15:docId w15:val="{335C3D75-181E-4D0A-97CB-B0E1A519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55463"/>
    <w:pPr>
      <w:keepNext/>
      <w:keepLines/>
      <w:spacing w:after="178" w:line="25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30"/>
    <w:pPr>
      <w:ind w:left="720"/>
      <w:contextualSpacing/>
    </w:pPr>
  </w:style>
  <w:style w:type="paragraph" w:styleId="NoSpacing">
    <w:name w:val="No Spacing"/>
    <w:uiPriority w:val="1"/>
    <w:qFormat/>
    <w:rsid w:val="00D929A3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rsid w:val="00D929A3"/>
    <w:rPr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D929A3"/>
    <w:pPr>
      <w:widowControl w:val="0"/>
      <w:shd w:val="clear" w:color="auto" w:fill="FFFFFF"/>
      <w:spacing w:before="400" w:line="274" w:lineRule="exact"/>
    </w:pPr>
  </w:style>
  <w:style w:type="table" w:styleId="TableGrid">
    <w:name w:val="Table Grid"/>
    <w:basedOn w:val="TableNormal"/>
    <w:uiPriority w:val="39"/>
    <w:rsid w:val="00D9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5463"/>
    <w:rPr>
      <w:rFonts w:ascii="Calibri" w:eastAsia="Calibri" w:hAnsi="Calibri" w:cs="Calibri"/>
      <w:b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8BC1-1208-4E9A-B440-4F40C699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</dc:creator>
  <cp:keywords/>
  <dc:description/>
  <cp:lastModifiedBy>Branka Rajković</cp:lastModifiedBy>
  <cp:revision>5</cp:revision>
  <cp:lastPrinted>2022-01-28T11:10:00Z</cp:lastPrinted>
  <dcterms:created xsi:type="dcterms:W3CDTF">2025-01-30T10:34:00Z</dcterms:created>
  <dcterms:modified xsi:type="dcterms:W3CDTF">2025-01-31T08:10:00Z</dcterms:modified>
</cp:coreProperties>
</file>